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Мерчендайзер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Мерчендайзер относится к категории исполнителей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должность мерчендайзера назначается лицо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имеющее высшее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неоконченное высшее или средне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специальное образование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желателен опыт работы в отделе прямых продаж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Мерчендайзер должен владеть приемами выкладки и рекламного оформления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Назначение на должность и освобождение от нее производится приказом руководителя предприятия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Мерчендайзер должен знать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актуальные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формы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приёмы 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методы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розничной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торговли и сбыта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через торговые точки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порядок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и условия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заключения договоров поставки и оформления необходимых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и нормы охраны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техники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производственной санитарии и противопожарной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Мерчендайзер подчиняется непосредственно супервайзеру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Мерчендайзер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Осуществляет работу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поставщиками и агентами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 установленному плану работы посещает ключевых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сетевых и проблемных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поставщиков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Следит за выкладкой максимально полного ассортимента продукции в соответствии со стандартами мерчандайзинга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размещением и обновлением рекламных материалов и оборудования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Передает заявки агентам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 желании торговой точки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Информирует супервайзера и ответственного торгового представителя об отсутствии достаточного количества продукции и заявки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Создает дублирующие точки продаж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следит за правильным размещением существующих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улучшает места размещения продукции по отношению к продукции конкурентов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Информирует супервайзера и торговых представителей о претензиях клиента по количеству и качеству поставляемого товара согласно договору поставки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Передает непосредственному руководству обо всех изменениях состояния рынка на вверенной ему территории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выявленных в процессе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Производит сбор маркетинговой информации по заданию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Обеспечивает проведение рекламных акций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промоакций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дегустаций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Поддерживает в актуальном состоянии сведения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базы данных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контактные лица и их руководство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особенности торговых точек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точные адреса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телефоны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режимы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Мерчендайзер вправе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Требовать от руководства оказания содействия в исполнении своих должностных обязанностей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Повышать свою квалификацию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Представлять на рассмотрение своего непосредственного руководителя предложения по вопросам своей деятельности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Получать от работников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необходимую для осуществления своей деятельности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Мерчендайзер несет ответственность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определенных трудовым законодательством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правонарушения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совершенные в процессе осуществления своей деятельности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определенных административным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уголовным и гражданским законодательством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За причинение материального ущерба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определенных трудовым и гражданским законодательством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Режим работы мерчендайзер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установленными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Работодатель проводит оценку эффективности деятельности </w:t>
      </w:r>
      <w:r>
        <w:rPr>
          <w:rtl w:val="0"/>
          <w:lang w:val="ru-RU"/>
        </w:rPr>
        <w:t>мерчендайзер</w:t>
      </w:r>
      <w:r>
        <w:rPr>
          <w:rtl w:val="0"/>
          <w:lang w:val="ru-RU"/>
        </w:rPr>
        <w:t>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</w:t>
      </w:r>
      <w:r>
        <w:rPr>
          <w:rtl w:val="0"/>
          <w:lang w:val="ru-RU"/>
        </w:rPr>
        <w:t>мерчендайзера</w:t>
      </w:r>
      <w:r>
        <w:rPr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numPr>
          <w:ilvl w:val="0"/>
          <w:numId w:val="2"/>
        </w:numPr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5.3.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характеристик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профессии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rtl w:val="0"/>
          <w:lang w:val="ru-RU"/>
        </w:rPr>
        <w:t>Менеджер по мерчендайзингу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Квалификационный  справочник  профессий  рабочих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которым устанавливаются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месячные  оклады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5.24.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Ознакомление работника с настоящей инструкцией осуществляется при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Факт  ознакомления  работника  с  настоящей  инструкцией подтверждается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являющемся неотъемлемой частью настоящей инструкции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журнале ознакомления с инструкциями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экземпляре инструкции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иным способом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5.5. 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номер и дата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